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5E34B">
      <w:pPr>
        <w:pStyle w:val="2"/>
        <w:bidi w:val="0"/>
        <w:rPr>
          <w:rFonts w:hint="eastAsia"/>
          <w:color w:val="000000" w:themeColor="text1"/>
          <w:sz w:val="24"/>
          <w:szCs w:val="24"/>
          <w:lang w:val="en-US" w:eastAsia="zh-CN"/>
          <w14:textFill>
            <w14:solidFill>
              <w14:schemeClr w14:val="tx1"/>
            </w14:solidFill>
          </w14:textFill>
        </w:rPr>
      </w:pPr>
      <w:bookmarkStart w:id="0" w:name="_Toc29984"/>
      <w:bookmarkStart w:id="1" w:name="_Toc12099"/>
      <w:bookmarkStart w:id="2" w:name="_Toc3824"/>
      <w:bookmarkStart w:id="3" w:name="_Toc17506"/>
      <w:bookmarkStart w:id="43" w:name="_GoBack"/>
      <w:bookmarkEnd w:id="43"/>
      <w:r>
        <w:rPr>
          <w:rFonts w:hint="eastAsia"/>
          <w:color w:val="000000" w:themeColor="text1"/>
          <w:sz w:val="24"/>
          <w:szCs w:val="24"/>
          <w:lang w:val="en-US" w:eastAsia="zh-CN"/>
          <w14:textFill>
            <w14:solidFill>
              <w14:schemeClr w14:val="tx1"/>
            </w14:solidFill>
          </w14:textFill>
        </w:rPr>
        <w:t>鞍山师范学院实验室管理办法</w:t>
      </w:r>
      <w:bookmarkEnd w:id="0"/>
      <w:bookmarkEnd w:id="1"/>
      <w:bookmarkEnd w:id="2"/>
    </w:p>
    <w:bookmarkEnd w:id="3"/>
    <w:p w14:paraId="67938627">
      <w:pPr>
        <w:keepNext w:val="0"/>
        <w:keepLines w:val="0"/>
        <w:pageBreakBefore w:val="0"/>
        <w:widowControl/>
        <w:tabs>
          <w:tab w:val="left" w:pos="260"/>
        </w:tabs>
        <w:kinsoku/>
        <w:wordWrap/>
        <w:overflowPunct/>
        <w:topLinePunct w:val="0"/>
        <w:autoSpaceDN/>
        <w:bidi w:val="0"/>
        <w:adjustRightInd w:val="0"/>
        <w:snapToGrid w:val="0"/>
        <w:spacing w:line="288" w:lineRule="auto"/>
        <w:ind w:right="0"/>
        <w:jc w:val="center"/>
        <w:textAlignment w:val="auto"/>
        <w:rPr>
          <w:rFonts w:ascii="仿宋" w:hAnsi="仿宋" w:eastAsia="仿宋" w:cs="仿宋"/>
          <w:b w:val="0"/>
          <w:bCs/>
          <w:color w:val="000000" w:themeColor="text1"/>
          <w:kern w:val="0"/>
          <w:sz w:val="24"/>
          <w:szCs w:val="24"/>
          <w14:textFill>
            <w14:solidFill>
              <w14:schemeClr w14:val="tx1"/>
            </w14:solidFill>
          </w14:textFill>
        </w:rPr>
      </w:pPr>
    </w:p>
    <w:p w14:paraId="64DD4082">
      <w:pPr>
        <w:keepNext w:val="0"/>
        <w:keepLines w:val="0"/>
        <w:pageBreakBefore w:val="0"/>
        <w:kinsoku/>
        <w:wordWrap/>
        <w:overflowPunct/>
        <w:topLinePunct w:val="0"/>
        <w:autoSpaceDN/>
        <w:bidi w:val="0"/>
        <w:adjustRightInd w:val="0"/>
        <w:snapToGrid w:val="0"/>
        <w:spacing w:line="288" w:lineRule="auto"/>
        <w:ind w:right="0"/>
        <w:jc w:val="center"/>
        <w:textAlignment w:val="auto"/>
        <w:outlineLvl w:val="0"/>
        <w:rPr>
          <w:rFonts w:ascii="仿宋" w:hAnsi="仿宋" w:eastAsia="仿宋" w:cs="仿宋"/>
          <w:b/>
          <w:color w:val="000000" w:themeColor="text1"/>
          <w:sz w:val="24"/>
          <w:szCs w:val="20"/>
          <w14:textFill>
            <w14:solidFill>
              <w14:schemeClr w14:val="tx1"/>
            </w14:solidFill>
          </w14:textFill>
        </w:rPr>
      </w:pPr>
      <w:bookmarkStart w:id="4" w:name="_Toc14871"/>
      <w:bookmarkStart w:id="5" w:name="_Toc30001"/>
      <w:bookmarkStart w:id="6" w:name="_Toc18187"/>
      <w:bookmarkStart w:id="7" w:name="_Toc27710"/>
      <w:bookmarkStart w:id="8" w:name="_Toc29928"/>
      <w:r>
        <w:rPr>
          <w:rFonts w:hint="eastAsia" w:ascii="仿宋" w:hAnsi="仿宋" w:eastAsia="仿宋" w:cs="仿宋"/>
          <w:b/>
          <w:color w:val="000000" w:themeColor="text1"/>
          <w:sz w:val="24"/>
          <w:szCs w:val="20"/>
          <w14:textFill>
            <w14:solidFill>
              <w14:schemeClr w14:val="tx1"/>
            </w14:solidFill>
          </w14:textFill>
        </w:rPr>
        <w:t>第一章  总  则</w:t>
      </w:r>
      <w:bookmarkEnd w:id="4"/>
      <w:bookmarkEnd w:id="5"/>
      <w:bookmarkEnd w:id="6"/>
      <w:bookmarkEnd w:id="7"/>
      <w:bookmarkEnd w:id="8"/>
    </w:p>
    <w:p w14:paraId="55B78B5F">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第一条</w:t>
      </w:r>
      <w:r>
        <w:rPr>
          <w:rFonts w:hint="eastAsia" w:ascii="仿宋" w:hAnsi="仿宋" w:eastAsia="仿宋" w:cs="仿宋"/>
          <w:color w:val="000000" w:themeColor="text1"/>
          <w:sz w:val="24"/>
          <w:szCs w:val="24"/>
          <w14:textFill>
            <w14:solidFill>
              <w14:schemeClr w14:val="tx1"/>
            </w14:solidFill>
          </w14:textFill>
        </w:rPr>
        <w:t xml:space="preserve">  为贯彻《高等学校实验室工作规程》（国家教委第20号令）及《关于加快建设高水平本科教育 全面提高人才培养能力的意见》（教高</w:t>
      </w:r>
      <w:r>
        <w:rPr>
          <w:rFonts w:hint="eastAsia" w:ascii="仿宋" w:hAnsi="仿宋" w:eastAsia="仿宋" w:cs="仿宋"/>
          <w:color w:val="000000" w:themeColor="text1"/>
          <w:sz w:val="24"/>
          <w:szCs w:val="24"/>
          <w:shd w:val="clear" w:color="auto" w:fill="FFFFFF"/>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2018</w:t>
      </w:r>
      <w:r>
        <w:rPr>
          <w:rFonts w:hint="eastAsia" w:ascii="仿宋" w:hAnsi="仿宋" w:eastAsia="仿宋" w:cs="仿宋"/>
          <w:color w:val="000000" w:themeColor="text1"/>
          <w:sz w:val="24"/>
          <w:szCs w:val="24"/>
          <w:shd w:val="clear" w:color="auto" w:fill="FFFFFF"/>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2号）、《关于深化本科教育教学改革 全面提高人才培养质量的意见》（教高</w:t>
      </w:r>
      <w:r>
        <w:rPr>
          <w:rFonts w:hint="eastAsia" w:ascii="仿宋" w:hAnsi="仿宋" w:eastAsia="仿宋" w:cs="仿宋"/>
          <w:color w:val="000000" w:themeColor="text1"/>
          <w:sz w:val="24"/>
          <w:szCs w:val="24"/>
          <w:shd w:val="clear" w:color="auto" w:fill="FFFFFF"/>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2019</w:t>
      </w:r>
      <w:r>
        <w:rPr>
          <w:rFonts w:hint="eastAsia" w:ascii="仿宋" w:hAnsi="仿宋" w:eastAsia="仿宋" w:cs="仿宋"/>
          <w:color w:val="000000" w:themeColor="text1"/>
          <w:sz w:val="24"/>
          <w:szCs w:val="24"/>
          <w:shd w:val="clear" w:color="auto" w:fill="FFFFFF"/>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6号）等文件精神，加强我校实验室建设和管理，保障学校教育质量和科学研究水平，提高学校办学效益，结合我校实际，制定本办法。</w:t>
      </w:r>
    </w:p>
    <w:p w14:paraId="47706CAB">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第二条</w:t>
      </w:r>
      <w:r>
        <w:rPr>
          <w:rFonts w:hint="eastAsia" w:ascii="仿宋" w:hAnsi="仿宋" w:eastAsia="仿宋" w:cs="仿宋"/>
          <w:color w:val="000000" w:themeColor="text1"/>
          <w:sz w:val="24"/>
          <w:szCs w:val="24"/>
          <w14:textFill>
            <w14:solidFill>
              <w14:schemeClr w14:val="tx1"/>
            </w14:solidFill>
          </w14:textFill>
        </w:rPr>
        <w:t xml:space="preserve">  实验室是学校教学、科研和服务社会的重要基地，是办好高等学校的基本条件之一。实验室建设与管理水平是反映高等学校工作水平、办学效益的重要指标。</w:t>
      </w:r>
    </w:p>
    <w:p w14:paraId="50F46D9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第三条</w:t>
      </w:r>
      <w:r>
        <w:rPr>
          <w:rFonts w:hint="eastAsia" w:ascii="仿宋" w:hAnsi="仿宋" w:eastAsia="仿宋" w:cs="仿宋"/>
          <w:color w:val="000000" w:themeColor="text1"/>
          <w:sz w:val="24"/>
          <w:szCs w:val="24"/>
          <w14:textFill>
            <w14:solidFill>
              <w14:schemeClr w14:val="tx1"/>
            </w14:solidFill>
          </w14:textFill>
        </w:rPr>
        <w:t xml:space="preserve">  实验室的建设要从实际出发，根据我校学科发展、教学改革和科学研究的实际需要出发，制定近期工作计划和长远建设规划；做到建筑设施、仪器设备、技术队伍和科学管理协调发展，提高投资效益；保证完成教学、科研任务，不断提高教学水平和实验技术水平；积极开展实验教学改革和实验技术开发，切实加强学生实践能力和创新能力培养；建立高素质的实验技术人员队伍，全面提高仪器设备使用效率，在教学、科研和社会服务中不断完善实验室自身的建设，积极为经济建设和社会发展服务。</w:t>
      </w:r>
    </w:p>
    <w:p w14:paraId="3C2D439F">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第四条</w:t>
      </w:r>
      <w:r>
        <w:rPr>
          <w:rFonts w:hint="eastAsia" w:ascii="仿宋" w:hAnsi="仿宋" w:eastAsia="仿宋" w:cs="仿宋"/>
          <w:color w:val="000000" w:themeColor="text1"/>
          <w:sz w:val="24"/>
          <w:szCs w:val="24"/>
          <w14:textFill>
            <w14:solidFill>
              <w14:schemeClr w14:val="tx1"/>
            </w14:solidFill>
          </w14:textFill>
        </w:rPr>
        <w:t xml:space="preserve">  实验技术人员队伍是教学、科研队伍的组成部分，各单位应重视建立一支稳定、年龄和知识结构合理的高素质的实验技术人员队伍。 </w:t>
      </w:r>
    </w:p>
    <w:p w14:paraId="4EAE5653">
      <w:pPr>
        <w:keepNext w:val="0"/>
        <w:keepLines w:val="0"/>
        <w:pageBreakBefore w:val="0"/>
        <w:kinsoku/>
        <w:wordWrap/>
        <w:overflowPunct/>
        <w:topLinePunct w:val="0"/>
        <w:autoSpaceDN/>
        <w:bidi w:val="0"/>
        <w:adjustRightInd w:val="0"/>
        <w:snapToGrid w:val="0"/>
        <w:spacing w:line="288" w:lineRule="auto"/>
        <w:ind w:right="0"/>
        <w:jc w:val="center"/>
        <w:textAlignment w:val="auto"/>
        <w:outlineLvl w:val="0"/>
        <w:rPr>
          <w:rFonts w:ascii="仿宋" w:hAnsi="仿宋" w:eastAsia="仿宋" w:cs="仿宋"/>
          <w:b/>
          <w:color w:val="000000" w:themeColor="text1"/>
          <w:sz w:val="24"/>
          <w:szCs w:val="24"/>
          <w14:textFill>
            <w14:solidFill>
              <w14:schemeClr w14:val="tx1"/>
            </w14:solidFill>
          </w14:textFill>
        </w:rPr>
      </w:pPr>
      <w:bookmarkStart w:id="9" w:name="_Toc19078"/>
      <w:bookmarkStart w:id="10" w:name="_Toc29345"/>
      <w:bookmarkStart w:id="11" w:name="_Toc16398"/>
      <w:bookmarkStart w:id="12" w:name="_Toc31327"/>
      <w:bookmarkStart w:id="13" w:name="_Toc28133"/>
      <w:r>
        <w:rPr>
          <w:rFonts w:hint="eastAsia" w:ascii="仿宋" w:hAnsi="仿宋" w:eastAsia="仿宋" w:cs="仿宋"/>
          <w:b/>
          <w:color w:val="000000" w:themeColor="text1"/>
          <w:sz w:val="24"/>
          <w:szCs w:val="24"/>
          <w14:textFill>
            <w14:solidFill>
              <w14:schemeClr w14:val="tx1"/>
            </w14:solidFill>
          </w14:textFill>
        </w:rPr>
        <w:t>第二章  实验室的任务</w:t>
      </w:r>
      <w:bookmarkEnd w:id="9"/>
      <w:bookmarkEnd w:id="10"/>
      <w:bookmarkEnd w:id="11"/>
      <w:bookmarkEnd w:id="12"/>
      <w:bookmarkEnd w:id="13"/>
    </w:p>
    <w:p w14:paraId="2CB84B64">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第五条</w:t>
      </w:r>
      <w:r>
        <w:rPr>
          <w:rFonts w:hint="eastAsia" w:ascii="仿宋" w:hAnsi="仿宋" w:eastAsia="仿宋" w:cs="仿宋"/>
          <w:color w:val="000000" w:themeColor="text1"/>
          <w:sz w:val="24"/>
          <w:szCs w:val="24"/>
          <w14:textFill>
            <w14:solidFill>
              <w14:schemeClr w14:val="tx1"/>
            </w14:solidFill>
          </w14:textFill>
        </w:rPr>
        <w:t xml:space="preserve">  实验室要根据学校教学计划和实验教学大纲的要求，承担实验教学任务。实验室要完善实验讲义、实验指导书等实验教学资料，保证实验教学工作的顺利进行。同时应及时吸收科研和教学的新成果，研究和开发先进的实验技术，更新实验内容，改革教学方法，逐步增加综合型、研究型、创新型的实验项目或课程，努力提高实验教学质量。通过实验教学培养学生理论联系实际的学风、严谨的科学态度和发现问题、提出问题、分析问题、解决问题的能力。</w:t>
      </w:r>
    </w:p>
    <w:p w14:paraId="46855730">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第六条</w:t>
      </w:r>
      <w:r>
        <w:rPr>
          <w:rFonts w:hint="eastAsia" w:ascii="仿宋" w:hAnsi="仿宋" w:eastAsia="仿宋" w:cs="仿宋"/>
          <w:color w:val="000000" w:themeColor="text1"/>
          <w:sz w:val="24"/>
          <w:szCs w:val="24"/>
          <w14:textFill>
            <w14:solidFill>
              <w14:schemeClr w14:val="tx1"/>
            </w14:solidFill>
          </w14:textFill>
        </w:rPr>
        <w:t xml:space="preserve">  实验室根据需要，积极开展科学实验、研究，进行有关基础科学、应用科学及开发性、创新性研究工作，获取科研成果。实验室要努力为科学研究创造条件，提高实验技术水平，保障科研实验任务高质量完成。</w:t>
      </w:r>
    </w:p>
    <w:p w14:paraId="023B0293">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第七条 </w:t>
      </w:r>
      <w:r>
        <w:rPr>
          <w:rFonts w:hint="eastAsia" w:ascii="仿宋" w:hAnsi="仿宋" w:eastAsia="仿宋" w:cs="仿宋"/>
          <w:color w:val="000000" w:themeColor="text1"/>
          <w:sz w:val="24"/>
          <w:szCs w:val="24"/>
          <w14:textFill>
            <w14:solidFill>
              <w14:schemeClr w14:val="tx1"/>
            </w14:solidFill>
          </w14:textFill>
        </w:rPr>
        <w:t xml:space="preserve"> 实验室应建立健全实验室工作的各项规章制度，督促进入实验室工作的人员严格执行，规范操作，同时加强对实验室技术人员的培训和管理。</w:t>
      </w:r>
    </w:p>
    <w:p w14:paraId="74B38AC5">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第八条</w:t>
      </w:r>
      <w:r>
        <w:rPr>
          <w:rFonts w:hint="eastAsia" w:ascii="仿宋" w:hAnsi="仿宋" w:eastAsia="仿宋" w:cs="仿宋"/>
          <w:color w:val="000000" w:themeColor="text1"/>
          <w:sz w:val="24"/>
          <w:szCs w:val="24"/>
          <w14:textFill>
            <w14:solidFill>
              <w14:schemeClr w14:val="tx1"/>
            </w14:solidFill>
          </w14:textFill>
        </w:rPr>
        <w:t xml:space="preserve">  实验室应做好仪器设备的保管、维修、计量和标定工作，使仪器设备经常处于完好状态；做好实验材料、低值品、易耗品的计划、使用和管理工作，防止积压浪费，保证实验工作顺利进</w:t>
      </w:r>
      <w:bookmarkStart w:id="14" w:name="page224"/>
      <w:bookmarkEnd w:id="14"/>
      <w:r>
        <w:rPr>
          <w:rFonts w:hint="eastAsia" w:ascii="仿宋" w:hAnsi="仿宋" w:eastAsia="仿宋" w:cs="仿宋"/>
          <w:color w:val="000000" w:themeColor="text1"/>
          <w:sz w:val="24"/>
          <w:szCs w:val="24"/>
          <w14:textFill>
            <w14:solidFill>
              <w14:schemeClr w14:val="tx1"/>
            </w14:solidFill>
          </w14:textFill>
        </w:rPr>
        <w:t>行；发挥潜力，研制实验装置和元件材料。</w:t>
      </w:r>
    </w:p>
    <w:p w14:paraId="57D7DBBE">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第九条 </w:t>
      </w:r>
      <w:r>
        <w:rPr>
          <w:rFonts w:hint="eastAsia" w:ascii="仿宋" w:hAnsi="仿宋" w:eastAsia="仿宋" w:cs="仿宋"/>
          <w:color w:val="000000" w:themeColor="text1"/>
          <w:sz w:val="24"/>
          <w:szCs w:val="24"/>
          <w14:textFill>
            <w14:solidFill>
              <w14:schemeClr w14:val="tx1"/>
            </w14:solidFill>
          </w14:textFill>
        </w:rPr>
        <w:t xml:space="preserve"> 实验室在保证完成教学和科研任务的前提下，积极开展实验室开放，开展社会服务和技术开发，开展学术、技术交流活动，提高实验室的使用率和开放内涵，最大限度地发挥实验室资源的效益。</w:t>
      </w:r>
    </w:p>
    <w:p w14:paraId="2D1D5EC1">
      <w:pPr>
        <w:keepNext w:val="0"/>
        <w:keepLines w:val="0"/>
        <w:pageBreakBefore w:val="0"/>
        <w:kinsoku/>
        <w:wordWrap/>
        <w:overflowPunct/>
        <w:topLinePunct w:val="0"/>
        <w:autoSpaceDN/>
        <w:bidi w:val="0"/>
        <w:adjustRightInd w:val="0"/>
        <w:snapToGrid w:val="0"/>
        <w:spacing w:line="288" w:lineRule="auto"/>
        <w:ind w:right="0"/>
        <w:jc w:val="center"/>
        <w:textAlignment w:val="auto"/>
        <w:outlineLvl w:val="0"/>
        <w:rPr>
          <w:rFonts w:ascii="仿宋" w:hAnsi="仿宋" w:eastAsia="仿宋" w:cs="仿宋"/>
          <w:b/>
          <w:color w:val="000000" w:themeColor="text1"/>
          <w:sz w:val="24"/>
          <w:szCs w:val="24"/>
          <w14:textFill>
            <w14:solidFill>
              <w14:schemeClr w14:val="tx1"/>
            </w14:solidFill>
          </w14:textFill>
        </w:rPr>
      </w:pPr>
      <w:bookmarkStart w:id="15" w:name="_Toc4381"/>
      <w:bookmarkStart w:id="16" w:name="_Toc2921"/>
      <w:bookmarkStart w:id="17" w:name="_Toc2432"/>
      <w:bookmarkStart w:id="18" w:name="_Toc28988"/>
      <w:bookmarkStart w:id="19" w:name="_Toc3626"/>
      <w:r>
        <w:rPr>
          <w:rFonts w:hint="eastAsia" w:ascii="仿宋" w:hAnsi="仿宋" w:eastAsia="仿宋" w:cs="仿宋"/>
          <w:b/>
          <w:color w:val="000000" w:themeColor="text1"/>
          <w:sz w:val="24"/>
          <w:szCs w:val="24"/>
          <w14:textFill>
            <w14:solidFill>
              <w14:schemeClr w14:val="tx1"/>
            </w14:solidFill>
          </w14:textFill>
        </w:rPr>
        <w:t>第三章  实验室建设</w:t>
      </w:r>
      <w:bookmarkEnd w:id="15"/>
      <w:bookmarkEnd w:id="16"/>
      <w:bookmarkEnd w:id="17"/>
      <w:bookmarkEnd w:id="18"/>
      <w:bookmarkEnd w:id="19"/>
    </w:p>
    <w:p w14:paraId="0FDE203A">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outlineLvl w:val="1"/>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第十条</w:t>
      </w:r>
      <w:r>
        <w:rPr>
          <w:rFonts w:hint="eastAsia" w:ascii="仿宋" w:hAnsi="仿宋" w:eastAsia="仿宋" w:cs="仿宋"/>
          <w:color w:val="000000" w:themeColor="text1"/>
          <w:sz w:val="24"/>
          <w:szCs w:val="24"/>
          <w14:textFill>
            <w14:solidFill>
              <w14:schemeClr w14:val="tx1"/>
            </w14:solidFill>
          </w14:textFill>
        </w:rPr>
        <w:t xml:space="preserve">  实验室的建立，必须具备下列条件：</w:t>
      </w:r>
    </w:p>
    <w:p w14:paraId="0E7B659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有稳定的学科发展方向和饱满的教学科研或技术开发等任务；</w:t>
      </w:r>
    </w:p>
    <w:p w14:paraId="42D670F2">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②有符合实验技术要求的房舍、设施及环境；</w:t>
      </w:r>
    </w:p>
    <w:p w14:paraId="6F191AAE">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③有足够数量、配套的仪器设备；</w:t>
      </w:r>
    </w:p>
    <w:p w14:paraId="554A3A9F">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④有合格的实验室主任和一定数量的专职工作人员；</w:t>
      </w:r>
    </w:p>
    <w:p w14:paraId="700ED562">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⑤有可行性论证报告；</w:t>
      </w:r>
    </w:p>
    <w:p w14:paraId="23DB8B34">
      <w:pPr>
        <w:keepNext w:val="0"/>
        <w:keepLines w:val="0"/>
        <w:pageBreakBefore w:val="0"/>
        <w:kinsoku/>
        <w:wordWrap/>
        <w:overflowPunct/>
        <w:topLinePunct w:val="0"/>
        <w:autoSpaceDN/>
        <w:bidi w:val="0"/>
        <w:adjustRightInd w:val="0"/>
        <w:snapToGrid w:val="0"/>
        <w:spacing w:line="288"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⑥有科学的工作规范和完善的管理制度。</w:t>
      </w:r>
    </w:p>
    <w:p w14:paraId="18DBD74B">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第十一条</w:t>
      </w:r>
      <w:r>
        <w:rPr>
          <w:rFonts w:hint="eastAsia" w:ascii="仿宋" w:hAnsi="仿宋" w:eastAsia="仿宋" w:cs="仿宋"/>
          <w:color w:val="000000" w:themeColor="text1"/>
          <w:sz w:val="24"/>
          <w:szCs w:val="24"/>
          <w14:textFill>
            <w14:solidFill>
              <w14:schemeClr w14:val="tx1"/>
            </w14:solidFill>
          </w14:textFill>
        </w:rPr>
        <w:t>　实验室的建立、调整与撤销必须经学校正式批准。实验室的增设、合并、改组、撤销要由学院（中心）提出申请，教务处和资产管理处按有关规定审查，根据专业设置、教学和科研任务的需要以及技术水平和人员、财力、物力等综合情况提出意见，报主管校长批准后，由教务处和资产管理处组织实施。国家重点实验室、国家开放实验室的建立按国家教育部有关规定办理。省、市级的实验室，按有关文件规定的隶属关系和要求办理。</w:t>
      </w:r>
    </w:p>
    <w:p w14:paraId="386C1BD3">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第十二条</w:t>
      </w:r>
      <w:r>
        <w:rPr>
          <w:rFonts w:hint="eastAsia" w:ascii="仿宋" w:hAnsi="仿宋" w:eastAsia="仿宋" w:cs="仿宋"/>
          <w:color w:val="000000" w:themeColor="text1"/>
          <w:sz w:val="24"/>
          <w:szCs w:val="24"/>
          <w14:textFill>
            <w14:solidFill>
              <w14:schemeClr w14:val="tx1"/>
            </w14:solidFill>
          </w14:textFill>
        </w:rPr>
        <w:t xml:space="preserve">  实验室的建设与发展规划，要纳入学校总体发展规划，房舍、设施及大型设备要纳入学校基建计划；一般仪器设备和运行、维护维修要纳入学校财务计划；工作人员的配备与结构调整纳入学校人事计划；实验室建设经费要采取多渠道集资的办法。</w:t>
      </w:r>
    </w:p>
    <w:p w14:paraId="45602118">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第十三条  </w:t>
      </w:r>
      <w:r>
        <w:rPr>
          <w:rFonts w:hint="eastAsia" w:ascii="仿宋" w:hAnsi="仿宋" w:eastAsia="仿宋" w:cs="仿宋"/>
          <w:color w:val="000000" w:themeColor="text1"/>
          <w:sz w:val="24"/>
          <w:szCs w:val="24"/>
          <w14:textFill>
            <w14:solidFill>
              <w14:schemeClr w14:val="tx1"/>
            </w14:solidFill>
          </w14:textFill>
        </w:rPr>
        <w:t>教学实验室的建设要面向学科或多学科，遵循国家提出的资源共享的原则，有条件的实验室，争取面向社会开放，做到资源共享，避免搞小而全，努力提高仪器设备的使用效益。</w:t>
      </w:r>
    </w:p>
    <w:p w14:paraId="4B7CE6C9">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第十四条　</w:t>
      </w:r>
      <w:r>
        <w:rPr>
          <w:rFonts w:hint="eastAsia" w:ascii="仿宋" w:hAnsi="仿宋" w:eastAsia="仿宋" w:cs="仿宋"/>
          <w:color w:val="000000" w:themeColor="text1"/>
          <w:sz w:val="24"/>
          <w:szCs w:val="24"/>
          <w14:textFill>
            <w14:solidFill>
              <w14:schemeClr w14:val="tx1"/>
            </w14:solidFill>
          </w14:textFill>
        </w:rPr>
        <w:t>要加强实验室队伍的建设。要不断从思想教育、业务考核和技术培训等方面对实验室工作人员进行培养，进一步提高他们的思想素质与业务水平。</w:t>
      </w:r>
    </w:p>
    <w:p w14:paraId="54401BBC">
      <w:pPr>
        <w:keepNext w:val="0"/>
        <w:keepLines w:val="0"/>
        <w:pageBreakBefore w:val="0"/>
        <w:kinsoku/>
        <w:wordWrap/>
        <w:overflowPunct/>
        <w:topLinePunct w:val="0"/>
        <w:autoSpaceDN/>
        <w:bidi w:val="0"/>
        <w:adjustRightInd w:val="0"/>
        <w:snapToGrid w:val="0"/>
        <w:spacing w:line="288" w:lineRule="auto"/>
        <w:ind w:right="0"/>
        <w:jc w:val="center"/>
        <w:textAlignment w:val="auto"/>
        <w:outlineLvl w:val="0"/>
        <w:rPr>
          <w:rFonts w:ascii="仿宋" w:hAnsi="仿宋" w:eastAsia="仿宋" w:cs="仿宋"/>
          <w:b/>
          <w:color w:val="000000" w:themeColor="text1"/>
          <w:sz w:val="24"/>
          <w:szCs w:val="24"/>
          <w14:textFill>
            <w14:solidFill>
              <w14:schemeClr w14:val="tx1"/>
            </w14:solidFill>
          </w14:textFill>
        </w:rPr>
      </w:pPr>
      <w:bookmarkStart w:id="20" w:name="_Toc15195"/>
      <w:bookmarkStart w:id="21" w:name="_Toc15839"/>
      <w:bookmarkStart w:id="22" w:name="_Toc21505"/>
      <w:bookmarkStart w:id="23" w:name="_Toc27520"/>
      <w:bookmarkStart w:id="24" w:name="_Toc2146"/>
      <w:r>
        <w:rPr>
          <w:rFonts w:hint="eastAsia" w:ascii="仿宋" w:hAnsi="仿宋" w:eastAsia="仿宋" w:cs="仿宋"/>
          <w:b/>
          <w:color w:val="000000" w:themeColor="text1"/>
          <w:sz w:val="24"/>
          <w:szCs w:val="24"/>
          <w14:textFill>
            <w14:solidFill>
              <w14:schemeClr w14:val="tx1"/>
            </w14:solidFill>
          </w14:textFill>
        </w:rPr>
        <w:t>第四章  实验室管理</w:t>
      </w:r>
      <w:bookmarkEnd w:id="20"/>
      <w:bookmarkEnd w:id="21"/>
      <w:bookmarkEnd w:id="22"/>
      <w:bookmarkEnd w:id="23"/>
      <w:bookmarkEnd w:id="24"/>
    </w:p>
    <w:p w14:paraId="52EC0D3D">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第十五条</w:t>
      </w:r>
      <w:r>
        <w:rPr>
          <w:rFonts w:hint="eastAsia" w:ascii="仿宋" w:hAnsi="仿宋" w:eastAsia="仿宋" w:cs="仿宋"/>
          <w:color w:val="000000" w:themeColor="text1"/>
          <w:sz w:val="24"/>
          <w:szCs w:val="24"/>
          <w14:textFill>
            <w14:solidFill>
              <w14:schemeClr w14:val="tx1"/>
            </w14:solidFill>
          </w14:textFill>
        </w:rPr>
        <w:t xml:space="preserve">  实验室实行统一领导、分级管理、以校、院（中心）管理为主的二级管理体制，教学校长主管实验室工作，教务处负责全校实验室工作，各教学单位由教学副院长（副主任）主管本单位实验室工作。</w:t>
      </w:r>
    </w:p>
    <w:p w14:paraId="2BBB05A2">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第十六条</w:t>
      </w:r>
      <w:r>
        <w:rPr>
          <w:rFonts w:hint="eastAsia" w:ascii="仿宋" w:hAnsi="仿宋" w:eastAsia="仿宋" w:cs="仿宋"/>
          <w:color w:val="000000" w:themeColor="text1"/>
          <w:sz w:val="24"/>
          <w:szCs w:val="24"/>
          <w14:textFill>
            <w14:solidFill>
              <w14:schemeClr w14:val="tx1"/>
            </w14:solidFill>
          </w14:textFill>
        </w:rPr>
        <w:t xml:space="preserve">  实验室要实行科学管理，完善各项规章制度。利用计算机对实验室的工作情况，包括人员、物资、经费、环境状态等信息进行记录、统计和分析，及时为学校或上级教育行政部门提供实验室情况的准确数据。</w:t>
      </w:r>
    </w:p>
    <w:p w14:paraId="12A7A05B">
      <w:pPr>
        <w:keepNext w:val="0"/>
        <w:keepLines w:val="0"/>
        <w:pageBreakBefore w:val="0"/>
        <w:kinsoku/>
        <w:wordWrap/>
        <w:overflowPunct/>
        <w:topLinePunct w:val="0"/>
        <w:autoSpaceDN/>
        <w:bidi w:val="0"/>
        <w:adjustRightInd w:val="0"/>
        <w:snapToGrid w:val="0"/>
        <w:spacing w:line="288"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第十七条</w:t>
      </w:r>
      <w:r>
        <w:rPr>
          <w:rFonts w:hint="eastAsia" w:ascii="仿宋" w:hAnsi="仿宋" w:eastAsia="仿宋" w:cs="仿宋"/>
          <w:color w:val="000000" w:themeColor="text1"/>
          <w:sz w:val="24"/>
          <w:szCs w:val="24"/>
          <w14:textFill>
            <w14:solidFill>
              <w14:schemeClr w14:val="tx1"/>
            </w14:solidFill>
          </w14:textFill>
        </w:rPr>
        <w:t xml:space="preserve">  实验室要建立和健全岗位责任制。实验室工作人员要严格要求自已，对工作要认真负责，有敬业乐业和奉献精神，年度考核或聘期考核按人事处有关文件规定执行。</w:t>
      </w:r>
    </w:p>
    <w:p w14:paraId="73B5BCFD">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第十八条</w:t>
      </w:r>
      <w:r>
        <w:rPr>
          <w:rFonts w:hint="eastAsia" w:ascii="仿宋" w:hAnsi="仿宋" w:eastAsia="仿宋" w:cs="仿宋"/>
          <w:color w:val="000000" w:themeColor="text1"/>
          <w:sz w:val="24"/>
          <w:szCs w:val="24"/>
          <w14:textFill>
            <w14:solidFill>
              <w14:schemeClr w14:val="tx1"/>
            </w14:solidFill>
          </w14:textFill>
        </w:rPr>
        <w:t xml:space="preserve">  实验室仪器设备和材料，低值易耗品等物资的管理，按照学校资产管理处有关规定执行。</w:t>
      </w:r>
    </w:p>
    <w:p w14:paraId="0C8A8D7E">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第十九条</w:t>
      </w:r>
      <w:r>
        <w:rPr>
          <w:rFonts w:hint="eastAsia" w:ascii="仿宋" w:hAnsi="仿宋" w:eastAsia="仿宋" w:cs="仿宋"/>
          <w:color w:val="000000" w:themeColor="text1"/>
          <w:sz w:val="24"/>
          <w:szCs w:val="24"/>
          <w14:textFill>
            <w14:solidFill>
              <w14:schemeClr w14:val="tx1"/>
            </w14:solidFill>
          </w14:textFill>
        </w:rPr>
        <w:t xml:space="preserve">  实验室要做好工作环境管理和劳动保护工作。按环保标准排放废气、废水、废物，不得污染环境。</w:t>
      </w:r>
    </w:p>
    <w:p w14:paraId="5EC409F2">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第二十条</w:t>
      </w:r>
      <w:r>
        <w:rPr>
          <w:rFonts w:hint="eastAsia" w:ascii="仿宋" w:hAnsi="仿宋" w:eastAsia="仿宋" w:cs="仿宋"/>
          <w:color w:val="000000" w:themeColor="text1"/>
          <w:sz w:val="24"/>
          <w:szCs w:val="24"/>
          <w14:textFill>
            <w14:solidFill>
              <w14:schemeClr w14:val="tx1"/>
            </w14:solidFill>
          </w14:textFill>
        </w:rPr>
        <w:t xml:space="preserve">  实验室要严格遵守国务院颁发的《化学危险品安全管理条例》及《中华人民共和国保守国家秘密法》等有关安全保密的法规和制度，定期检查防火、防爆、防盗、防事故等方面安全措施的落实情况，经常对师生开展安全保密教育，切实保障人身财产安全。</w:t>
      </w:r>
    </w:p>
    <w:p w14:paraId="2A8CCA9F">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第二十一条</w:t>
      </w:r>
      <w:r>
        <w:rPr>
          <w:rFonts w:hint="eastAsia" w:ascii="仿宋" w:hAnsi="仿宋" w:eastAsia="仿宋" w:cs="仿宋"/>
          <w:color w:val="000000" w:themeColor="text1"/>
          <w:sz w:val="24"/>
          <w:szCs w:val="24"/>
          <w14:textFill>
            <w14:solidFill>
              <w14:schemeClr w14:val="tx1"/>
            </w14:solidFill>
          </w14:textFill>
        </w:rPr>
        <w:t xml:space="preserve">  要建立实验室评估制度，认真参加省教育厅组织的实验室评估并按照实验室基本条件、管理水平、效益、特色等方面</w:t>
      </w:r>
      <w:bookmarkStart w:id="25" w:name="page226"/>
      <w:bookmarkEnd w:id="25"/>
      <w:r>
        <w:rPr>
          <w:rFonts w:hint="eastAsia" w:ascii="仿宋" w:hAnsi="仿宋" w:eastAsia="仿宋" w:cs="仿宋"/>
          <w:color w:val="000000" w:themeColor="text1"/>
          <w:sz w:val="24"/>
          <w:szCs w:val="24"/>
          <w14:textFill>
            <w14:solidFill>
              <w14:schemeClr w14:val="tx1"/>
            </w14:solidFill>
          </w14:textFill>
        </w:rPr>
        <w:t>的要求开展校内评估，以促进实验室提高管理水平。</w:t>
      </w:r>
    </w:p>
    <w:p w14:paraId="71EADD77">
      <w:pPr>
        <w:keepNext w:val="0"/>
        <w:keepLines w:val="0"/>
        <w:pageBreakBefore w:val="0"/>
        <w:widowControl w:val="0"/>
        <w:kinsoku/>
        <w:wordWrap/>
        <w:overflowPunct/>
        <w:topLinePunct w:val="0"/>
        <w:autoSpaceDE/>
        <w:autoSpaceDN/>
        <w:bidi w:val="0"/>
        <w:adjustRightInd w:val="0"/>
        <w:snapToGrid w:val="0"/>
        <w:spacing w:line="276" w:lineRule="auto"/>
        <w:ind w:right="0"/>
        <w:jc w:val="center"/>
        <w:textAlignment w:val="auto"/>
        <w:outlineLvl w:val="0"/>
        <w:rPr>
          <w:rFonts w:ascii="仿宋" w:hAnsi="仿宋" w:eastAsia="仿宋" w:cs="仿宋"/>
          <w:b/>
          <w:color w:val="000000" w:themeColor="text1"/>
          <w:sz w:val="24"/>
          <w:szCs w:val="24"/>
          <w14:textFill>
            <w14:solidFill>
              <w14:schemeClr w14:val="tx1"/>
            </w14:solidFill>
          </w14:textFill>
        </w:rPr>
      </w:pPr>
      <w:bookmarkStart w:id="26" w:name="_Toc27643"/>
      <w:bookmarkStart w:id="27" w:name="_Toc29279"/>
      <w:bookmarkStart w:id="28" w:name="_Toc14998"/>
      <w:bookmarkStart w:id="29" w:name="_Toc28198"/>
      <w:bookmarkStart w:id="30" w:name="_Toc18444"/>
      <w:r>
        <w:rPr>
          <w:rFonts w:hint="eastAsia" w:ascii="仿宋" w:hAnsi="仿宋" w:eastAsia="仿宋" w:cs="仿宋"/>
          <w:b/>
          <w:color w:val="000000" w:themeColor="text1"/>
          <w:sz w:val="24"/>
          <w:szCs w:val="24"/>
          <w14:textFill>
            <w14:solidFill>
              <w14:schemeClr w14:val="tx1"/>
            </w14:solidFill>
          </w14:textFill>
        </w:rPr>
        <w:t>第五章  实验室安全</w:t>
      </w:r>
      <w:bookmarkEnd w:id="26"/>
      <w:bookmarkEnd w:id="27"/>
      <w:bookmarkEnd w:id="28"/>
      <w:bookmarkEnd w:id="29"/>
      <w:bookmarkEnd w:id="30"/>
    </w:p>
    <w:p w14:paraId="41842C2B">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第二十二条</w:t>
      </w:r>
      <w:r>
        <w:rPr>
          <w:rFonts w:hint="eastAsia" w:ascii="仿宋" w:hAnsi="仿宋" w:eastAsia="仿宋" w:cs="仿宋"/>
          <w:color w:val="000000" w:themeColor="text1"/>
          <w:sz w:val="24"/>
          <w:szCs w:val="24"/>
          <w14:textFill>
            <w14:solidFill>
              <w14:schemeClr w14:val="tx1"/>
            </w14:solidFill>
          </w14:textFill>
        </w:rPr>
        <w:t>　实验室要根据本室的任务，健全安全防范管理制度，落实“三防”（防火、防盗、防事故）责任人，配置必要的安全防火设备和器材，并定期检查防火、防爆、防盗、防事故等方面的安全措施执行情况，及早消除各种险情隐患。</w:t>
      </w:r>
    </w:p>
    <w:p w14:paraId="629516C3">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第二十三条</w:t>
      </w:r>
      <w:r>
        <w:rPr>
          <w:rFonts w:hint="eastAsia" w:ascii="仿宋" w:hAnsi="仿宋" w:eastAsia="仿宋" w:cs="仿宋"/>
          <w:color w:val="000000" w:themeColor="text1"/>
          <w:sz w:val="24"/>
          <w:szCs w:val="24"/>
          <w14:textFill>
            <w14:solidFill>
              <w14:schemeClr w14:val="tx1"/>
            </w14:solidFill>
          </w14:textFill>
        </w:rPr>
        <w:t xml:space="preserve">  对进入实验室的人员，要进行安全教育，讲明本室的安全规定、实验中的注意事项及仪器设备的操作规程。未经安全教育者，不得进入实验室做实验，不得动用仪器设备和实验用品。</w:t>
      </w:r>
    </w:p>
    <w:p w14:paraId="66C30226">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第二十四条</w:t>
      </w:r>
      <w:r>
        <w:rPr>
          <w:rFonts w:hint="eastAsia" w:ascii="仿宋" w:hAnsi="仿宋" w:eastAsia="仿宋" w:cs="仿宋"/>
          <w:color w:val="000000" w:themeColor="text1"/>
          <w:sz w:val="24"/>
          <w:szCs w:val="24"/>
          <w14:textFill>
            <w14:solidFill>
              <w14:schemeClr w14:val="tx1"/>
            </w14:solidFill>
          </w14:textFill>
        </w:rPr>
        <w:t xml:space="preserve">  要按公安部门的有关规定做好化学危险品的购买、储存、使用等方面的管理工作。实验中使用放射源、致癌物质、毒品或其它有害物质，工艺上、设备上要采取防护措施。对那些在放射性类、化学生物类有毒物质及物理致害因素类物质环境中从事实验的人员，可根据有关规定享受不同级别的保健待遇。</w:t>
      </w:r>
    </w:p>
    <w:p w14:paraId="23F56609">
      <w:pPr>
        <w:keepNext w:val="0"/>
        <w:keepLines w:val="0"/>
        <w:pageBreakBefore w:val="0"/>
        <w:widowControl w:val="0"/>
        <w:kinsoku/>
        <w:wordWrap/>
        <w:overflowPunct/>
        <w:topLinePunct w:val="0"/>
        <w:autoSpaceDE/>
        <w:autoSpaceDN/>
        <w:bidi w:val="0"/>
        <w:adjustRightInd w:val="0"/>
        <w:snapToGrid w:val="0"/>
        <w:spacing w:line="276" w:lineRule="auto"/>
        <w:ind w:right="0"/>
        <w:jc w:val="center"/>
        <w:textAlignment w:val="auto"/>
        <w:outlineLvl w:val="0"/>
        <w:rPr>
          <w:rFonts w:ascii="仿宋" w:hAnsi="仿宋" w:eastAsia="仿宋" w:cs="仿宋"/>
          <w:b/>
          <w:color w:val="000000" w:themeColor="text1"/>
          <w:sz w:val="24"/>
          <w:szCs w:val="24"/>
          <w14:textFill>
            <w14:solidFill>
              <w14:schemeClr w14:val="tx1"/>
            </w14:solidFill>
          </w14:textFill>
        </w:rPr>
      </w:pPr>
      <w:bookmarkStart w:id="31" w:name="_Toc22000"/>
      <w:bookmarkStart w:id="32" w:name="_Toc29623"/>
      <w:bookmarkStart w:id="33" w:name="_Toc32300"/>
      <w:bookmarkStart w:id="34" w:name="_Toc4779"/>
      <w:bookmarkStart w:id="35" w:name="_Toc3144"/>
      <w:r>
        <w:rPr>
          <w:rFonts w:hint="eastAsia" w:ascii="仿宋" w:hAnsi="仿宋" w:eastAsia="仿宋" w:cs="仿宋"/>
          <w:b/>
          <w:color w:val="000000" w:themeColor="text1"/>
          <w:sz w:val="24"/>
          <w:szCs w:val="24"/>
          <w14:textFill>
            <w14:solidFill>
              <w14:schemeClr w14:val="tx1"/>
            </w14:solidFill>
          </w14:textFill>
        </w:rPr>
        <w:t>第六章  实验室工作档案管理</w:t>
      </w:r>
      <w:bookmarkEnd w:id="31"/>
      <w:bookmarkEnd w:id="32"/>
      <w:bookmarkEnd w:id="33"/>
      <w:bookmarkEnd w:id="34"/>
      <w:bookmarkEnd w:id="35"/>
    </w:p>
    <w:p w14:paraId="17CAE7BE">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outlineLvl w:val="1"/>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第二十五条</w:t>
      </w:r>
      <w:r>
        <w:rPr>
          <w:rFonts w:hint="eastAsia" w:ascii="仿宋" w:hAnsi="仿宋" w:eastAsia="仿宋" w:cs="仿宋"/>
          <w:color w:val="000000" w:themeColor="text1"/>
          <w:sz w:val="24"/>
          <w:szCs w:val="24"/>
          <w14:textFill>
            <w14:solidFill>
              <w14:schemeClr w14:val="tx1"/>
            </w14:solidFill>
          </w14:textFill>
        </w:rPr>
        <w:t xml:space="preserve">  实验室工作档案管理的对象</w:t>
      </w:r>
    </w:p>
    <w:p w14:paraId="3B618DBD">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凡属经学校正式批准建制的教学实验室，其建设、改革、固定资产设备使用、流通等事宜必须按上级文件、有关法规和学校关于重要技术资料的归档要求，分类建立实验室工作档案。根据学校档案工作的统一管理要求，除校档案馆直接立卷管理外，各院、系及教学实验室应分别建立相应的实验室工作档案。实验室档案应建立传统纸质档案和电子文档。</w:t>
      </w:r>
    </w:p>
    <w:p w14:paraId="3CE07220">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outlineLvl w:val="1"/>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第二十六条</w:t>
      </w:r>
      <w:r>
        <w:rPr>
          <w:rFonts w:hint="eastAsia" w:ascii="仿宋" w:hAnsi="仿宋" w:eastAsia="仿宋" w:cs="仿宋"/>
          <w:color w:val="000000" w:themeColor="text1"/>
          <w:sz w:val="24"/>
          <w:szCs w:val="24"/>
          <w14:textFill>
            <w14:solidFill>
              <w14:schemeClr w14:val="tx1"/>
            </w14:solidFill>
          </w14:textFill>
        </w:rPr>
        <w:t xml:space="preserve">  实验室工作立卷归档的内容</w:t>
      </w:r>
    </w:p>
    <w:p w14:paraId="46F9196C">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1.实验室及设备管理工作法规、制度文件卷</w:t>
      </w:r>
      <w:bookmarkStart w:id="36" w:name="page228"/>
      <w:bookmarkEnd w:id="36"/>
    </w:p>
    <w:p w14:paraId="1BAE114D">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①国家及国家教育部与各部委、省教育厅和省、市有关实验室工作的法规文件；</w:t>
      </w:r>
    </w:p>
    <w:p w14:paraId="1BD145D1">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②学校有关实验室发展建设与改革的文件；</w:t>
      </w:r>
    </w:p>
    <w:p w14:paraId="5583D030">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③实验室建制审批（含实验室建立、撤消、合并、调整等）文件；</w:t>
      </w:r>
    </w:p>
    <w:p w14:paraId="5A3ADE45">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④实验室管理的各项规章制度；</w:t>
      </w:r>
    </w:p>
    <w:p w14:paraId="01736535">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⑤实验室建设发展规划；</w:t>
      </w:r>
    </w:p>
    <w:p w14:paraId="6C98247A">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⑥实验室年度工作总结及实验室工作人员考核表等。</w:t>
      </w:r>
    </w:p>
    <w:p w14:paraId="42B6DAFE">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2.以学校名义向上级部门定期或不定期报出的有关实验室工作的各种报告、报表或数据卷</w:t>
      </w:r>
    </w:p>
    <w:p w14:paraId="4729AE03">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A.设备管理类</w:t>
      </w:r>
    </w:p>
    <w:p w14:paraId="7F6DA48A">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①学校各实验室教学科研仪器设备年度数据传送数据与报表（[单价为 200 元以上（含 200 元）之设备]；）</w:t>
      </w:r>
    </w:p>
    <w:p w14:paraId="58237650">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②学校各实验室教学科研仪器设备增减情况传送数据与报表；</w:t>
      </w:r>
    </w:p>
    <w:p w14:paraId="7982C9CA">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③学校各实验室教学、科研精密贵重仪器设备年度使用情况数据，传送数据与报表（[单台（套）价为 20 万元以上（含 20 万元）之设备]。）</w:t>
      </w:r>
    </w:p>
    <w:p w14:paraId="5DB3524A">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B.实验室基本情况类</w:t>
      </w:r>
    </w:p>
    <w:p w14:paraId="4FF5B427">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①学校各实验室任务及人员情况学年度数据传送数据与报表；</w:t>
      </w:r>
    </w:p>
    <w:p w14:paraId="44442F81">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②学校实验项目学年度数据传送数据与报表；</w:t>
      </w:r>
    </w:p>
    <w:p w14:paraId="365608B5">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③学校专职实验室工作人员学年度数据传送数据与报表；</w:t>
      </w:r>
    </w:p>
    <w:p w14:paraId="76D53D17">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④学校基础课教学实验室基本情况学年度数据传送数据报表。</w:t>
      </w:r>
    </w:p>
    <w:p w14:paraId="0477F1C3">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3.实验室管理卷</w:t>
      </w:r>
    </w:p>
    <w:p w14:paraId="30B42975">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①实验室环境条件的增扩与实验室改革方案文件；实验室工作评估情况；实验室工作人员及其变更情况；实验室管理方面的重要实施细则；实验室主任工作守则与工作人员岗位责任制等；</w:t>
      </w:r>
    </w:p>
    <w:p w14:paraId="23273D96">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②仪器设备固定资产卡片（按单位与设备编号排序）；</w:t>
      </w:r>
    </w:p>
    <w:p w14:paraId="038EE531">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③大型精密贵重仪器设备技术档案。</w:t>
      </w:r>
    </w:p>
    <w:p w14:paraId="5FE3E4AF">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大型精密贵重仪器设备档案管理，应包括每台仪器设备申购时的可行性论证报告、订货合同、装箱单、使用说明书、技术资料及其履历本、降等降级报告和仪器设备的报损报废等资料（其中使用说明书和技术资料经校档案室建档后可由实验室借用保管）。</w:t>
      </w:r>
    </w:p>
    <w:p w14:paraId="32A4B689">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outlineLvl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4.实验教学管理卷</w:t>
      </w:r>
    </w:p>
    <w:p w14:paraId="5BBC83BC">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bookmarkStart w:id="37" w:name="page229"/>
      <w:bookmarkEnd w:id="37"/>
      <w:r>
        <w:rPr>
          <w:rFonts w:hint="eastAsia" w:ascii="仿宋" w:hAnsi="仿宋" w:eastAsia="仿宋" w:cs="仿宋"/>
          <w:color w:val="000000" w:themeColor="text1"/>
          <w:sz w:val="24"/>
          <w:szCs w:val="24"/>
          <w14:textFill>
            <w14:solidFill>
              <w14:schemeClr w14:val="tx1"/>
            </w14:solidFill>
          </w14:textFill>
        </w:rPr>
        <w:t>①实验教学大纲、教材、讲义、实验指导书；</w:t>
      </w:r>
    </w:p>
    <w:p w14:paraId="67101CD6">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②每学年度实验教学计划安排表；</w:t>
      </w:r>
    </w:p>
    <w:p w14:paraId="53B4328C">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③实验题目（项目）的更新、改造与淘汰等资料；</w:t>
      </w:r>
    </w:p>
    <w:p w14:paraId="1C07892A">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④实验教学课、题目（项目）卡片（统一建立实验项目库）。</w:t>
      </w:r>
    </w:p>
    <w:p w14:paraId="04520D67">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outlineLvl w:val="1"/>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第二十七条 </w:t>
      </w:r>
      <w:r>
        <w:rPr>
          <w:rFonts w:hint="eastAsia" w:ascii="仿宋" w:hAnsi="仿宋" w:eastAsia="仿宋" w:cs="仿宋"/>
          <w:color w:val="000000" w:themeColor="text1"/>
          <w:sz w:val="24"/>
          <w:szCs w:val="24"/>
          <w14:textFill>
            <w14:solidFill>
              <w14:schemeClr w14:val="tx1"/>
            </w14:solidFill>
          </w14:textFill>
        </w:rPr>
        <w:t xml:space="preserve"> 档案的查阅与管理办法</w:t>
      </w:r>
    </w:p>
    <w:p w14:paraId="50A6091A">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1.教务处和资产管理处负责职能范围内有关实验室工作档案管理；</w:t>
      </w:r>
    </w:p>
    <w:p w14:paraId="5991E34D">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2.各院（中心）实验室每年度应按要求按时上报有关归档资料；</w:t>
      </w:r>
    </w:p>
    <w:p w14:paraId="0C442DB0">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3.单位或个人因工作需要查阅或借用其有关档案资料者，均须按学校档案管理的有关规定办理查阅或借用手续并按时归还；</w:t>
      </w:r>
    </w:p>
    <w:p w14:paraId="16DB177A">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4.档案资料原则上应保留原件，特殊情况经主管业务部门领导批准后可使用复印件。</w:t>
      </w:r>
    </w:p>
    <w:p w14:paraId="6CCF22F8">
      <w:pPr>
        <w:keepNext w:val="0"/>
        <w:keepLines w:val="0"/>
        <w:pageBreakBefore w:val="0"/>
        <w:widowControl w:val="0"/>
        <w:kinsoku/>
        <w:wordWrap/>
        <w:overflowPunct/>
        <w:topLinePunct w:val="0"/>
        <w:autoSpaceDE/>
        <w:autoSpaceDN/>
        <w:bidi w:val="0"/>
        <w:adjustRightInd w:val="0"/>
        <w:snapToGrid w:val="0"/>
        <w:spacing w:line="276" w:lineRule="auto"/>
        <w:ind w:right="0"/>
        <w:jc w:val="center"/>
        <w:textAlignment w:val="auto"/>
        <w:outlineLvl w:val="0"/>
        <w:rPr>
          <w:rFonts w:ascii="仿宋" w:hAnsi="仿宋" w:eastAsia="仿宋" w:cs="仿宋"/>
          <w:b/>
          <w:color w:val="000000" w:themeColor="text1"/>
          <w:sz w:val="24"/>
          <w:szCs w:val="24"/>
          <w14:textFill>
            <w14:solidFill>
              <w14:schemeClr w14:val="tx1"/>
            </w14:solidFill>
          </w14:textFill>
        </w:rPr>
      </w:pPr>
      <w:bookmarkStart w:id="38" w:name="_Toc24451"/>
      <w:bookmarkStart w:id="39" w:name="_Toc21298"/>
      <w:bookmarkStart w:id="40" w:name="_Toc1125"/>
      <w:bookmarkStart w:id="41" w:name="_Toc28786"/>
      <w:bookmarkStart w:id="42" w:name="_Toc17510"/>
      <w:r>
        <w:rPr>
          <w:rFonts w:hint="eastAsia" w:ascii="仿宋" w:hAnsi="仿宋" w:eastAsia="仿宋" w:cs="仿宋"/>
          <w:b/>
          <w:color w:val="000000" w:themeColor="text1"/>
          <w:sz w:val="24"/>
          <w:szCs w:val="24"/>
          <w14:textFill>
            <w14:solidFill>
              <w14:schemeClr w14:val="tx1"/>
            </w14:solidFill>
          </w14:textFill>
        </w:rPr>
        <w:t>第七章  附  则</w:t>
      </w:r>
      <w:bookmarkEnd w:id="38"/>
      <w:bookmarkEnd w:id="39"/>
      <w:bookmarkEnd w:id="40"/>
      <w:bookmarkEnd w:id="41"/>
      <w:bookmarkEnd w:id="42"/>
    </w:p>
    <w:p w14:paraId="44F32466">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outlineLvl w:val="1"/>
        <w:rPr>
          <w:rFonts w:hint="eastAsia"/>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第二十八条 </w:t>
      </w:r>
      <w:r>
        <w:rPr>
          <w:rFonts w:hint="eastAsia" w:ascii="仿宋" w:hAnsi="仿宋" w:eastAsia="仿宋" w:cs="仿宋"/>
          <w:color w:val="000000" w:themeColor="text1"/>
          <w:sz w:val="24"/>
          <w:szCs w:val="24"/>
          <w14:textFill>
            <w14:solidFill>
              <w14:schemeClr w14:val="tx1"/>
            </w14:solidFill>
          </w14:textFill>
        </w:rPr>
        <w:t xml:space="preserve"> 本办法自公布之日起施行，由教务处负责解释。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7014D"/>
    <w:rsid w:val="062D6EF8"/>
    <w:rsid w:val="3F1B0AB2"/>
    <w:rsid w:val="69E916D6"/>
    <w:rsid w:val="6BC43A12"/>
    <w:rsid w:val="7E955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288" w:lineRule="auto"/>
      <w:jc w:val="center"/>
      <w:outlineLvl w:val="0"/>
    </w:pPr>
    <w:rPr>
      <w:rFonts w:ascii="Times New Roman" w:hAnsi="Times New Roman" w:cs="Times New Roman" w:eastAsiaTheme="majorEastAsia"/>
      <w:b/>
      <w:kern w:val="44"/>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2025-07-04T01:58:00Z</dcterms:created>
  <dc:creator>教务处</dc:creator>
  <cp:lastModifiedBy>教务处</cp:lastModifiedBy>
  <dcterms:modified xsi:type="dcterms:W3CDTF">2025-07-04T06:03:25Z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24119CBD913F4E0DAAFFB59B704C9691_12</vt:lpwstr>
  </property>
</Properties>
</file>